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sz w:val="36"/>
          <w:szCs w:val="36"/>
          <w:highlight w:val="none"/>
        </w:rPr>
      </w:pPr>
      <w:bookmarkStart w:id="2" w:name="_GoBack"/>
      <w:r>
        <w:rPr>
          <w:rFonts w:ascii="Times New Roman" w:hAnsi="Times New Roman" w:eastAsia="Arial"/>
          <w:b/>
          <w:sz w:val="36"/>
          <w:szCs w:val="36"/>
          <w:highlight w:val="none"/>
        </w:rPr>
        <w:t>Orchid Awards Rules</w:t>
      </w:r>
    </w:p>
    <w:bookmarkEnd w:id="2"/>
    <w:p w14:paraId="48B5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1745F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I</w:t>
      </w:r>
    </w:p>
    <w:p w14:paraId="20BF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General Principles</w:t>
      </w:r>
    </w:p>
    <w:p w14:paraId="277C0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b/>
          <w:sz w:val="32"/>
          <w:szCs w:val="32"/>
          <w:highlight w:val="none"/>
        </w:rPr>
      </w:pPr>
    </w:p>
    <w:p w14:paraId="4E90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  <w:b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Orchid Awards (hereinafter referred to as “the Awards”) are established by China International Communications Group (CICG), with a view to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implement</w:t>
      </w:r>
      <w:r>
        <w:rPr>
          <w:rFonts w:ascii="Times New Roman" w:hAnsi="Times New Roman"/>
          <w:sz w:val="32"/>
          <w:szCs w:val="32"/>
          <w:highlight w:val="none"/>
        </w:rPr>
        <w:t>ing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the Global Civilization Initiative,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/>
          <w:sz w:val="32"/>
          <w:szCs w:val="32"/>
          <w:highlight w:val="none"/>
        </w:rPr>
        <w:t>promot</w:t>
      </w:r>
      <w:r>
        <w:rPr>
          <w:rFonts w:ascii="Times New Roman" w:hAnsi="Times New Roman"/>
          <w:sz w:val="32"/>
          <w:szCs w:val="32"/>
          <w:highlight w:val="none"/>
        </w:rPr>
        <w:t>ing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the common values of humanity of peace, development, fairness, justice, democracy and freedom, consolidat</w:t>
      </w:r>
      <w:r>
        <w:rPr>
          <w:rFonts w:ascii="Times New Roman" w:hAnsi="Times New Roman"/>
          <w:sz w:val="32"/>
          <w:szCs w:val="32"/>
          <w:highlight w:val="none"/>
        </w:rPr>
        <w:t>ing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the cultural foundation for building a global community of shared future, and</w:t>
      </w:r>
      <w:r>
        <w:rPr>
          <w:rFonts w:hint="default" w:ascii="Times New Roman" w:hAnsi="Times New Roman" w:eastAsia="宋体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facilitating exchanges and mutual learning </w:t>
      </w:r>
      <w:r>
        <w:rPr>
          <w:rFonts w:hint="eastAsia" w:ascii="Times New Roman" w:hAnsi="Times New Roman" w:eastAsia="宋体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among</w:t>
      </w:r>
      <w:r>
        <w:rPr>
          <w:rFonts w:hint="default" w:ascii="Times New Roman" w:hAnsi="Times New Roman" w:eastAsia="宋体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civilization</w:t>
      </w:r>
      <w:r>
        <w:rPr>
          <w:rFonts w:hint="eastAsia" w:ascii="Times New Roman" w:hAnsi="Times New Roman" w:eastAsia="宋体" w:cs="Times New Roman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s</w:t>
      </w:r>
      <w:r>
        <w:rPr>
          <w:rFonts w:hint="eastAsia" w:ascii="Times New Roman" w:hAnsi="Times New Roman"/>
          <w:b/>
          <w:sz w:val="32"/>
          <w:szCs w:val="32"/>
          <w:highlight w:val="none"/>
          <w:lang w:val="en-US" w:eastAsia="zh-CN"/>
        </w:rPr>
        <w:t>.</w:t>
      </w:r>
    </w:p>
    <w:p w14:paraId="4581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  <w:b/>
          <w:sz w:val="32"/>
          <w:szCs w:val="32"/>
          <w:highlight w:val="none"/>
          <w:lang w:val="en-US" w:eastAsia="zh-CN"/>
        </w:rPr>
      </w:pPr>
    </w:p>
    <w:p w14:paraId="01C678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Times New Roman" w:hAnsi="Times New Roman" w:cs="Times New Roman"/>
          <w:color w:val="222222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2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222222"/>
          <w:kern w:val="0"/>
          <w:sz w:val="32"/>
          <w:szCs w:val="32"/>
          <w:highlight w:val="none"/>
          <w:shd w:val="clear" w:color="auto" w:fill="FFFFFF"/>
          <w:lang w:bidi="ar"/>
        </w:rPr>
        <w:t xml:space="preserve">The Awards cover cultural sectors and 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 xml:space="preserve">are awarded to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/>
        </w:rPr>
        <w:t>foreign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  <w:lang w:val="en-US"/>
        </w:rPr>
        <w:t xml:space="preserve"> nationals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(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>or organizations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 xml:space="preserve"> worldwide that have 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been committed to the promotion of </w:t>
      </w:r>
      <w:r>
        <w:rPr>
          <w:rFonts w:ascii="Times New Roman" w:hAnsi="Times New Roman" w:eastAsia="Arial"/>
          <w:sz w:val="32"/>
          <w:szCs w:val="32"/>
          <w:highlight w:val="none"/>
        </w:rPr>
        <w:t>Chinese culture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>and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have 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 xml:space="preserve">made significant contributions to 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promoting 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 xml:space="preserve">exchanges and mutual learning 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among civilizations</w:t>
      </w:r>
      <w:r>
        <w:rPr>
          <w:rFonts w:hint="default" w:ascii="Times New Roman" w:hAnsi="Times New Roman" w:eastAsia="Arial" w:cs="Times New Roman"/>
          <w:sz w:val="32"/>
          <w:szCs w:val="32"/>
          <w:highlight w:val="none"/>
        </w:rPr>
        <w:t xml:space="preserve">. </w:t>
      </w:r>
    </w:p>
    <w:p w14:paraId="06A4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6AED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3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Awards select winners with international prestige and valuable contributions from the general public guided by the principles of professionalism, credibility, fairness and openness.</w:t>
      </w:r>
    </w:p>
    <w:p w14:paraId="35C0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1187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4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Award winners are selected annually.</w:t>
      </w:r>
    </w:p>
    <w:p w14:paraId="0DB08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5D31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II</w:t>
      </w:r>
    </w:p>
    <w:p w14:paraId="2303F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Categories and Quotas</w:t>
      </w:r>
    </w:p>
    <w:p w14:paraId="0AC4E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6818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5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Awards take into consideration achievements, contributions and international prestige, and are awarded in three categories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, namely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Lifetime Honorary Award, Outstanding Achievement Award and Friendship Envoy Award.</w:t>
      </w:r>
    </w:p>
    <w:p w14:paraId="0743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0551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 xml:space="preserve">Article 6 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T</w:t>
      </w:r>
      <w:r>
        <w:rPr>
          <w:rFonts w:hint="eastAsia" w:ascii="Times New Roman" w:hAnsi="Times New Roman" w:eastAsia="Arial"/>
          <w:sz w:val="32"/>
          <w:szCs w:val="32"/>
          <w:highlight w:val="none"/>
        </w:rPr>
        <w:t xml:space="preserve">he Awards will be presented to 10 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award winners.</w:t>
      </w:r>
    </w:p>
    <w:p w14:paraId="6B2D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2EB4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III</w:t>
      </w:r>
    </w:p>
    <w:p w14:paraId="4EDBC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Organizers and Expert Committee</w:t>
      </w:r>
    </w:p>
    <w:p w14:paraId="7EE6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7165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 xml:space="preserve">Article 7 </w:t>
      </w:r>
      <w:r>
        <w:rPr>
          <w:rFonts w:ascii="Times New Roman" w:hAnsi="Times New Roman" w:eastAsia="Arial"/>
          <w:sz w:val="32"/>
          <w:szCs w:val="32"/>
          <w:highlight w:val="none"/>
        </w:rPr>
        <w:t>CICG, the awarding organization, is responsible for organizing the selection and commendation</w:t>
      </w:r>
      <w:r>
        <w:rPr>
          <w:rFonts w:hint="eastAsia" w:ascii="Times New Roman" w:hAnsi="Times New Roman"/>
          <w:sz w:val="32"/>
          <w:szCs w:val="32"/>
          <w:highlight w:val="none"/>
        </w:rPr>
        <w:t>,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including formulating selection rules and measures, establishing an expert committee for selection (hereinafter “Expert Committee”), and releasing selection announcements.</w:t>
      </w:r>
    </w:p>
    <w:p w14:paraId="4F7A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455B5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 xml:space="preserve">Article 8 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The </w:t>
      </w:r>
      <w:r>
        <w:rPr>
          <w:rFonts w:hint="eastAsia" w:ascii="Times New Roman" w:hAnsi="Times New Roman"/>
          <w:sz w:val="32"/>
          <w:szCs w:val="32"/>
          <w:highlight w:val="none"/>
        </w:rPr>
        <w:t>E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xpert </w:t>
      </w:r>
      <w:r>
        <w:rPr>
          <w:rFonts w:hint="eastAsia" w:ascii="Times New Roman" w:hAnsi="Times New Roman"/>
          <w:sz w:val="32"/>
          <w:szCs w:val="32"/>
          <w:highlight w:val="none"/>
        </w:rPr>
        <w:t>C</w:t>
      </w:r>
      <w:r>
        <w:rPr>
          <w:rFonts w:ascii="Times New Roman" w:hAnsi="Times New Roman" w:eastAsia="Arial"/>
          <w:sz w:val="32"/>
          <w:szCs w:val="32"/>
          <w:highlight w:val="none"/>
        </w:rPr>
        <w:t>ommittee shall be responsible for selection</w:t>
      </w:r>
      <w:r>
        <w:rPr>
          <w:rFonts w:hint="eastAsia" w:ascii="Times New Roman" w:hAnsi="Times New Roman"/>
          <w:sz w:val="32"/>
          <w:szCs w:val="32"/>
          <w:highlight w:val="none"/>
        </w:rPr>
        <w:t>. I</w:t>
      </w:r>
      <w:r>
        <w:rPr>
          <w:rFonts w:ascii="Times New Roman" w:hAnsi="Times New Roman" w:eastAsia="Arial"/>
          <w:sz w:val="32"/>
          <w:szCs w:val="32"/>
          <w:highlight w:val="none"/>
        </w:rPr>
        <w:t>ts members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shall be selected from an expert pool of Chinese and </w:t>
      </w:r>
      <w:r>
        <w:rPr>
          <w:rFonts w:hint="eastAsia" w:ascii="Times New Roman" w:hAnsi="Times New Roman"/>
          <w:sz w:val="32"/>
          <w:szCs w:val="32"/>
          <w:highlight w:val="none"/>
        </w:rPr>
        <w:t>foreign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professionals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and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 xml:space="preserve"> adjusted dynamically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. </w:t>
      </w:r>
    </w:p>
    <w:p w14:paraId="5B27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42B9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 xml:space="preserve">Article 9 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The Orchid Awards Secretariat (hereinafter “the Secretariat”) shall be responsible for administrative work involved in selection and commendation. The Secretariat is </w:t>
      </w:r>
      <w:bookmarkStart w:id="0" w:name="_Hlk110371007"/>
      <w:r>
        <w:rPr>
          <w:rFonts w:hint="eastAsia" w:ascii="Times New Roman" w:hAnsi="Times New Roman"/>
          <w:sz w:val="32"/>
          <w:szCs w:val="32"/>
          <w:highlight w:val="none"/>
        </w:rPr>
        <w:t>located at</w:t>
      </w:r>
      <w:r>
        <w:rPr>
          <w:rFonts w:ascii="Times New Roman" w:hAnsi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Arial"/>
          <w:sz w:val="32"/>
          <w:szCs w:val="32"/>
          <w:highlight w:val="none"/>
        </w:rPr>
        <w:t>China Center for International Communication Development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(</w:t>
      </w:r>
      <w:r>
        <w:rPr>
          <w:rFonts w:ascii="Times New Roman" w:hAnsi="Times New Roman" w:eastAsia="Arial"/>
          <w:sz w:val="32"/>
          <w:szCs w:val="32"/>
          <w:highlight w:val="none"/>
        </w:rPr>
        <w:t>CCICD) under CICG.</w:t>
      </w:r>
    </w:p>
    <w:bookmarkEnd w:id="0"/>
    <w:p w14:paraId="116B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4D98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IV</w:t>
      </w:r>
    </w:p>
    <w:p w14:paraId="7DBAD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Participation</w:t>
      </w:r>
    </w:p>
    <w:p w14:paraId="76AC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2D888D3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10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/>
          <w:sz w:val="32"/>
          <w:szCs w:val="32"/>
          <w:highlight w:val="none"/>
          <w:lang w:val="en-US"/>
        </w:rPr>
        <w:t>Foreign</w:t>
      </w:r>
      <w:r>
        <w:rPr>
          <w:rFonts w:hint="default" w:ascii="Times New Roman" w:hAnsi="Times New Roman" w:eastAsia="Arial"/>
          <w:sz w:val="32"/>
          <w:szCs w:val="32"/>
          <w:highlight w:val="none"/>
          <w:lang w:val="en-US"/>
        </w:rPr>
        <w:t xml:space="preserve"> nationals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(</w:t>
      </w:r>
      <w:r>
        <w:rPr>
          <w:rFonts w:ascii="Times New Roman" w:hAnsi="Times New Roman" w:eastAsia="Arial"/>
          <w:sz w:val="32"/>
          <w:szCs w:val="32"/>
          <w:highlight w:val="none"/>
        </w:rPr>
        <w:t>or organizations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)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can participate through either </w:t>
      </w:r>
      <w:r>
        <w:rPr>
          <w:rFonts w:ascii="Times New Roman" w:hAnsi="Times New Roman"/>
          <w:sz w:val="32"/>
          <w:szCs w:val="32"/>
          <w:highlight w:val="none"/>
        </w:rPr>
        <w:t>recommendation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by others or self-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r</w:t>
      </w:r>
      <w:r>
        <w:rPr>
          <w:rFonts w:ascii="Times New Roman" w:hAnsi="Times New Roman" w:eastAsia="宋体" w:cs="Times New Roman"/>
          <w:sz w:val="32"/>
          <w:szCs w:val="32"/>
          <w:highlight w:val="none"/>
        </w:rPr>
        <w:t>ecommendation</w:t>
      </w:r>
      <w:r>
        <w:rPr>
          <w:rFonts w:ascii="Times New Roman" w:hAnsi="Times New Roman" w:eastAsia="Arial"/>
          <w:sz w:val="32"/>
          <w:szCs w:val="32"/>
          <w:highlight w:val="none"/>
        </w:rPr>
        <w:t>.</w:t>
      </w:r>
    </w:p>
    <w:p w14:paraId="2622629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0B43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11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All participation documents should be </w:t>
      </w:r>
      <w:r>
        <w:rPr>
          <w:rFonts w:hint="eastAsia" w:ascii="Times New Roman" w:hAnsi="Times New Roman"/>
          <w:sz w:val="32"/>
          <w:szCs w:val="32"/>
          <w:highlight w:val="none"/>
        </w:rPr>
        <w:t>submitted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to the Secretariat.</w:t>
      </w:r>
    </w:p>
    <w:p w14:paraId="2E38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</w:p>
    <w:p w14:paraId="002E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V</w:t>
      </w:r>
    </w:p>
    <w:p w14:paraId="0D40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Procedures</w:t>
      </w:r>
    </w:p>
    <w:p w14:paraId="29DD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34246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12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winners are selected through four steps, namely preliminary selection, secondary selection, final selection and disclosure for public scrutiny.</w:t>
      </w:r>
    </w:p>
    <w:p w14:paraId="1373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68E5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13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list of winners will be disclosed for public scrutiny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after approval </w:t>
      </w:r>
      <w:r>
        <w:rPr>
          <w:rFonts w:ascii="Times New Roman" w:hAnsi="Times New Roman" w:eastAsia="Arial"/>
          <w:sz w:val="32"/>
          <w:szCs w:val="32"/>
          <w:highlight w:val="none"/>
        </w:rPr>
        <w:t>by CICG.</w:t>
      </w:r>
    </w:p>
    <w:p w14:paraId="47B3D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5EBB5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VI</w:t>
      </w:r>
    </w:p>
    <w:p w14:paraId="7818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Rewards</w:t>
      </w:r>
    </w:p>
    <w:p w14:paraId="39BF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2487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 xml:space="preserve">Article 14 </w:t>
      </w:r>
      <w:r>
        <w:rPr>
          <w:rFonts w:ascii="Times New Roman" w:hAnsi="Times New Roman"/>
          <w:sz w:val="32"/>
          <w:szCs w:val="32"/>
          <w:highlight w:val="none"/>
        </w:rPr>
        <w:t>C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ertificates, </w:t>
      </w:r>
      <w:r>
        <w:rPr>
          <w:rFonts w:hint="eastAsia" w:ascii="Times New Roman" w:hAnsi="Times New Roman"/>
          <w:sz w:val="32"/>
          <w:szCs w:val="32"/>
          <w:highlight w:val="none"/>
        </w:rPr>
        <w:t>trophies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and cash </w:t>
      </w:r>
      <w:r>
        <w:rPr>
          <w:rFonts w:hint="eastAsia" w:ascii="Times New Roman" w:hAnsi="Times New Roman"/>
          <w:sz w:val="32"/>
          <w:szCs w:val="32"/>
          <w:highlight w:val="none"/>
        </w:rPr>
        <w:t>awards</w:t>
      </w:r>
      <w:r>
        <w:rPr>
          <w:rFonts w:ascii="Times New Roman" w:hAnsi="Times New Roman"/>
          <w:sz w:val="32"/>
          <w:szCs w:val="32"/>
          <w:highlight w:val="none"/>
        </w:rPr>
        <w:t xml:space="preserve"> are presented</w:t>
      </w:r>
      <w:r>
        <w:rPr>
          <w:rFonts w:hint="eastAsia" w:ascii="Times New Roman" w:hAnsi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Arial"/>
          <w:sz w:val="32"/>
          <w:szCs w:val="32"/>
          <w:highlight w:val="none"/>
        </w:rPr>
        <w:t>to winners by CICG.</w:t>
      </w:r>
    </w:p>
    <w:p w14:paraId="37A8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ascii="Times New Roman" w:hAnsi="Times New Roman" w:eastAsia="Arial"/>
          <w:b/>
          <w:sz w:val="32"/>
          <w:szCs w:val="32"/>
          <w:highlight w:val="none"/>
        </w:rPr>
      </w:pPr>
    </w:p>
    <w:p w14:paraId="1175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15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The list of award winners 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shall be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announced at 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an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award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ing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ceremony.</w:t>
      </w:r>
    </w:p>
    <w:p w14:paraId="3367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140A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6823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Chapter VII</w:t>
      </w:r>
    </w:p>
    <w:p w14:paraId="44B8F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Arial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bCs/>
          <w:sz w:val="32"/>
          <w:szCs w:val="32"/>
          <w:highlight w:val="none"/>
        </w:rPr>
        <w:t>Supplementary Provisions</w:t>
      </w:r>
    </w:p>
    <w:p w14:paraId="2A8D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b/>
          <w:sz w:val="32"/>
          <w:szCs w:val="32"/>
          <w:highlight w:val="none"/>
        </w:rPr>
      </w:pPr>
    </w:p>
    <w:p w14:paraId="4F21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16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Should an Expert Committee member or his/her close relative apply for the Awards, that member shall be recused from that year’s selection to avoid potential bias.</w:t>
      </w:r>
    </w:p>
    <w:p w14:paraId="3BA7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bookmarkStart w:id="1" w:name="_heading=h.gjdgxs" w:colFirst="0" w:colLast="0"/>
      <w:bookmarkEnd w:id="1"/>
    </w:p>
    <w:p w14:paraId="723D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17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If a winner ceases to be qualified to enjoy the honor, the award can be revoked by CICG through public announcement.</w:t>
      </w:r>
    </w:p>
    <w:p w14:paraId="6E51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539F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18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CICG retains rights and interests related to the name and logo of the Awards.</w:t>
      </w:r>
    </w:p>
    <w:p w14:paraId="4936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"/>
        <w:jc w:val="both"/>
        <w:textAlignment w:val="auto"/>
        <w:rPr>
          <w:rFonts w:ascii="Times New Roman" w:hAnsi="Times New Roman" w:eastAsia="Arial"/>
          <w:sz w:val="32"/>
          <w:szCs w:val="32"/>
          <w:highlight w:val="none"/>
        </w:rPr>
      </w:pPr>
    </w:p>
    <w:p w14:paraId="6AF56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highlight w:val="none"/>
        </w:rPr>
      </w:pPr>
      <w:r>
        <w:rPr>
          <w:rFonts w:ascii="Times New Roman" w:hAnsi="Times New Roman" w:eastAsia="Arial"/>
          <w:b/>
          <w:sz w:val="32"/>
          <w:szCs w:val="32"/>
          <w:highlight w:val="none"/>
        </w:rPr>
        <w:t>Article 19</w:t>
      </w:r>
      <w:r>
        <w:rPr>
          <w:rFonts w:ascii="Times New Roman" w:hAnsi="Times New Roman" w:eastAsia="Arial"/>
          <w:sz w:val="32"/>
          <w:szCs w:val="32"/>
          <w:highlight w:val="none"/>
        </w:rPr>
        <w:t xml:space="preserve"> CICG reserves the right to final interpretation of the rules.</w:t>
      </w:r>
    </w:p>
    <w:p w14:paraId="39038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150AE"/>
    <w:rsid w:val="554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73529ff-ba09-4733-855d-e897f6273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xiaoyu</dc:creator>
  <cp:lastModifiedBy>xiaoyu</cp:lastModifiedBy>
  <dcterms:modified xsi:type="dcterms:W3CDTF">2026-04-14T07:54:41Z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79708AFCD2B04C39B33CE2A94B4FC64D_11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